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5D9" w:rsidRPr="006F55D9" w:rsidRDefault="006F55D9" w:rsidP="006F55D9">
      <w:pPr>
        <w:shd w:val="clear" w:color="auto" w:fill="FFFFFF"/>
        <w:spacing w:after="300" w:line="240" w:lineRule="auto"/>
        <w:outlineLvl w:val="3"/>
        <w:rPr>
          <w:rFonts w:ascii="Lucida Sans Unicode" w:eastAsia="Times New Roman" w:hAnsi="Lucida Sans Unicode" w:cs="Lucida Sans Unicode"/>
          <w:color w:val="333333"/>
          <w:sz w:val="39"/>
          <w:szCs w:val="39"/>
          <w:lang w:eastAsia="ru-RU"/>
        </w:rPr>
      </w:pPr>
      <w:r w:rsidRPr="006F55D9">
        <w:rPr>
          <w:rFonts w:ascii="Lucida Sans Unicode" w:eastAsia="Times New Roman" w:hAnsi="Lucida Sans Unicode" w:cs="Lucida Sans Unicode"/>
          <w:color w:val="333333"/>
          <w:sz w:val="39"/>
          <w:szCs w:val="39"/>
          <w:lang w:eastAsia="ru-RU"/>
        </w:rPr>
        <w:t>Прием витаминов и лекарственных препаратов во время беременности</w:t>
      </w:r>
    </w:p>
    <w:p w:rsidR="006F55D9" w:rsidRPr="006F55D9" w:rsidRDefault="006F55D9" w:rsidP="006F55D9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666" stroked="f"/>
        </w:pict>
      </w:r>
    </w:p>
    <w:p w:rsidR="006F55D9" w:rsidRPr="006F55D9" w:rsidRDefault="006F55D9" w:rsidP="006F55D9">
      <w:pPr>
        <w:shd w:val="clear" w:color="auto" w:fill="FFFFFF"/>
        <w:spacing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Беременной пациентке врач может назначить:</w:t>
      </w:r>
    </w:p>
    <w:p w:rsidR="006F55D9" w:rsidRPr="006F55D9" w:rsidRDefault="006F55D9" w:rsidP="006F55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прием фолиевой кислоты на протяжении первых 12 недель беременности в дозе 400 мкг в день.</w:t>
      </w:r>
    </w:p>
    <w:p w:rsidR="006F55D9" w:rsidRPr="006F55D9" w:rsidRDefault="006F55D9" w:rsidP="006F55D9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прием препаратов йода (калия йодида) на протяжении всей беременности в дозе </w:t>
      </w:r>
      <w:bookmarkStart w:id="0" w:name="_GoBack"/>
      <w:bookmarkEnd w:id="0"/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200 мкг в день.</w:t>
      </w:r>
    </w:p>
    <w:p w:rsidR="006F55D9" w:rsidRPr="006F55D9" w:rsidRDefault="006F55D9" w:rsidP="006F55D9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пациентке группы высокого риска </w:t>
      </w:r>
      <w:proofErr w:type="spellStart"/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преэклампсии</w:t>
      </w:r>
      <w:proofErr w:type="spellEnd"/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при низком потреблении кальция (менее 600 мг/день) рекомендовано назначить пероральный прием препаратов кальция на протяжении всей беременности в дозе 1 г/день.</w:t>
      </w:r>
    </w:p>
    <w:p w:rsidR="006F55D9" w:rsidRPr="006F55D9" w:rsidRDefault="006F55D9" w:rsidP="006F55D9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6F55D9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пациентке группы высокого риска гиповитаминоза витамина D рекомендовано назначить пероральный прием витамина D на протяжении всей беременности в дозе 10 мкг (400 МЕ) в день.</w:t>
      </w:r>
    </w:p>
    <w:p w:rsidR="00092821" w:rsidRDefault="00092821"/>
    <w:sectPr w:rsidR="000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9F0"/>
    <w:multiLevelType w:val="multilevel"/>
    <w:tmpl w:val="3F38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88"/>
    <w:rsid w:val="00092821"/>
    <w:rsid w:val="006F55D9"/>
    <w:rsid w:val="00A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93D2C-97CA-4051-BFB9-721BAC49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2024-08-12T05:58:00Z</dcterms:created>
  <dcterms:modified xsi:type="dcterms:W3CDTF">2024-08-12T05:58:00Z</dcterms:modified>
</cp:coreProperties>
</file>